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A757" w14:textId="2E95A7BF" w:rsidR="0067618F" w:rsidRPr="00922975" w:rsidRDefault="00BE6DB5" w:rsidP="00EE1907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</w:pPr>
      <w:r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Juhtumi stsenaarium 2. moodul</w:t>
      </w:r>
      <w:r w:rsidR="00A622CD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 xml:space="preserve"> </w:t>
      </w:r>
      <w:r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–</w:t>
      </w:r>
      <w:r w:rsidR="00A622CD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 xml:space="preserve"> </w:t>
      </w:r>
      <w:r w:rsidR="00A622CD" w:rsidRPr="00A622CD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Euroopa Prokuratuur</w:t>
      </w:r>
      <w:r w:rsidR="00A622CD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i (</w:t>
      </w:r>
      <w:r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E</w:t>
      </w:r>
      <w:r w:rsidR="00A622CD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 xml:space="preserve">PPO) </w:t>
      </w:r>
      <w:r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pädevused</w:t>
      </w:r>
    </w:p>
    <w:p w14:paraId="20865D39" w14:textId="77777777" w:rsidR="0067618F" w:rsidRPr="00A26AF8" w:rsidRDefault="0067618F" w:rsidP="00F50ABB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3"/>
        </w:rPr>
      </w:pPr>
    </w:p>
    <w:p w14:paraId="5D354605" w14:textId="5951438C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Ungari ettevõtte tegevjuht X, kes on konkreetses pakkumus-/hankemenetluses osaleva konsortsiumi esindaja, võttis ühendus</w:t>
      </w:r>
      <w:r w:rsidR="00A622C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kahe Brüsselis asuva Euroopa Komisjoni ametnikuga. Konsortsiumi pakkumiste optimeerimiseks küsiti ELi ametnikelt, kas nad lubavad juurdepääsu teiste pakkujate konfidentsiaalsele hinnateabele ja muule delikaatsele äriteabele.</w:t>
      </w:r>
    </w:p>
    <w:p w14:paraId="6B37E469" w14:textId="446991A5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Brüsseli</w:t>
      </w:r>
      <w:r w:rsidR="00A622C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asuvad ametnikud, liikmesriikide A ja B kodanikud, olid valmis nõutud teavet jagama, küsides selle eest kumbki 20 000 eurot. Vestlused agentidega toimusid Londonis. Kohtumistel andsid A ja B nõutud teabe, andes X-ile näpunäiteid, mis võimaldasid konsortsiumil konkurendi pakkumis</w:t>
      </w:r>
      <w:r w:rsidR="00A622CD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t mõnevõrra väiksem pakkumine teha. X esitas pakkumusmenetluse käigus valeväiteid ja ebaõigeid dokumente.</w:t>
      </w:r>
    </w:p>
    <w:p w14:paraId="0DCB87D4" w14:textId="00FEE831" w:rsidR="0067618F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Juhtum äratas tohutut meedia ja avalikkuse tähelepanu kogu Euroopa Liidus. A ja B riiklikke prokuratuure teavitasid altkäemaksujuhtumist riiklikud meediateenused. Mõlemad liikmesriigid (A ja B) algatasid oma kodanike suhtes riikliku uurimise.</w:t>
      </w:r>
    </w:p>
    <w:p w14:paraId="5EE11203" w14:textId="0FE3D6D3" w:rsidR="0067618F" w:rsidRDefault="0067618F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32B52542" w14:textId="568AA748" w:rsidR="00A26AF8" w:rsidRPr="00A26AF8" w:rsidRDefault="00A26AF8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</w:rPr>
      </w:pPr>
      <w:r>
        <w:rPr>
          <w:rFonts w:ascii="Times New Roman" w:hAnsi="Times New Roman"/>
          <w:b/>
          <w:bCs/>
          <w:i/>
          <w:color w:val="4F81BD" w:themeColor="accent1"/>
          <w:sz w:val="28"/>
        </w:rPr>
        <w:t>Küsimused:</w:t>
      </w:r>
    </w:p>
    <w:p w14:paraId="2C1B60E3" w14:textId="735829E6" w:rsidR="001121C3" w:rsidRPr="00A26AF8" w:rsidRDefault="00A26AF8" w:rsidP="00A26AF8">
      <w:pPr>
        <w:tabs>
          <w:tab w:val="left" w:pos="808"/>
        </w:tabs>
        <w:spacing w:before="158" w:line="276" w:lineRule="auto"/>
        <w:ind w:right="3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Q1.</w:t>
      </w:r>
      <w:r>
        <w:rPr>
          <w:rFonts w:ascii="Times New Roman" w:hAnsi="Times New Roman"/>
          <w:b/>
          <w:sz w:val="24"/>
          <w:szCs w:val="24"/>
        </w:rPr>
        <w:tab/>
        <w:t>Eeldades, et ELi finantshuve on kahjustatud:</w:t>
      </w:r>
      <w:r w:rsidR="00A62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milline on teie õiguslik hinnang X-i tegevusele? Kas E</w:t>
      </w:r>
      <w:r w:rsidR="00A622CD">
        <w:rPr>
          <w:rFonts w:ascii="Times New Roman" w:hAnsi="Times New Roman"/>
          <w:b/>
          <w:sz w:val="24"/>
          <w:szCs w:val="24"/>
        </w:rPr>
        <w:t>PPO</w:t>
      </w:r>
      <w:r>
        <w:rPr>
          <w:rFonts w:ascii="Times New Roman" w:hAnsi="Times New Roman"/>
          <w:b/>
          <w:sz w:val="24"/>
          <w:szCs w:val="24"/>
        </w:rPr>
        <w:t xml:space="preserve"> võib algatada tema suhtes uurimise? Kas see muudaks midagi, kui ELi finantshuve ei kahjustataks?</w:t>
      </w:r>
    </w:p>
    <w:p w14:paraId="02A74007" w14:textId="77777777" w:rsidR="00130005" w:rsidRPr="00A26AF8" w:rsidRDefault="00130005" w:rsidP="00130005">
      <w:pPr>
        <w:pStyle w:val="ListParagraph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91C722" w14:textId="020BED2C" w:rsidR="00F50ABB" w:rsidRPr="00904598" w:rsidRDefault="00A26AF8" w:rsidP="00904598">
      <w:pPr>
        <w:tabs>
          <w:tab w:val="left" w:pos="808"/>
        </w:tabs>
        <w:spacing w:line="276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Q2.</w:t>
      </w:r>
      <w:r>
        <w:rPr>
          <w:rFonts w:ascii="Times New Roman" w:hAnsi="Times New Roman"/>
          <w:b/>
          <w:sz w:val="24"/>
          <w:szCs w:val="24"/>
        </w:rPr>
        <w:tab/>
        <w:t>Milline on teie õiguslik hinnang E</w:t>
      </w:r>
      <w:r w:rsidR="00A622CD">
        <w:rPr>
          <w:rFonts w:ascii="Times New Roman" w:hAnsi="Times New Roman"/>
          <w:b/>
          <w:sz w:val="24"/>
          <w:szCs w:val="24"/>
        </w:rPr>
        <w:t>PPO</w:t>
      </w:r>
      <w:r>
        <w:rPr>
          <w:rFonts w:ascii="Times New Roman" w:hAnsi="Times New Roman"/>
          <w:b/>
          <w:sz w:val="24"/>
          <w:szCs w:val="24"/>
        </w:rPr>
        <w:t xml:space="preserve"> pädevusele liikmesriikide A või B prokuröri käsitlemise seisukohast, kes peab tegelema ELi agentide vastu esitatud süüdistustega?</w:t>
      </w:r>
    </w:p>
    <w:p w14:paraId="3024B8CA" w14:textId="77777777" w:rsidR="0067618F" w:rsidRPr="00A26AF8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AA1B85" w14:textId="23ACAACF" w:rsidR="00F50ABB" w:rsidRPr="00A26AF8" w:rsidRDefault="00A26AF8" w:rsidP="000440FE">
      <w:pPr>
        <w:pStyle w:val="Heading1"/>
        <w:tabs>
          <w:tab w:val="left" w:pos="808"/>
        </w:tabs>
        <w:spacing w:line="276" w:lineRule="auto"/>
        <w:ind w:left="0" w:right="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Q3.</w:t>
      </w:r>
      <w:r>
        <w:rPr>
          <w:rFonts w:ascii="Times New Roman" w:hAnsi="Times New Roman"/>
          <w:sz w:val="24"/>
          <w:szCs w:val="24"/>
        </w:rPr>
        <w:tab/>
        <w:t>Kas teavitaksite A või B vastu esitatud süüdistustega tegeleva riikliku prokurörina juhtumist E</w:t>
      </w:r>
      <w:r w:rsidR="00A622CD">
        <w:rPr>
          <w:rFonts w:ascii="Times New Roman" w:hAnsi="Times New Roman"/>
          <w:sz w:val="24"/>
          <w:szCs w:val="24"/>
        </w:rPr>
        <w:t>PPOt</w:t>
      </w:r>
      <w:r>
        <w:rPr>
          <w:rFonts w:ascii="Times New Roman" w:hAnsi="Times New Roman"/>
          <w:sz w:val="24"/>
          <w:szCs w:val="24"/>
        </w:rPr>
        <w:t>? Kui jah, siis kuidas? Mida tuleb seni seoses riiklike juurdlustega ette võtta?</w:t>
      </w:r>
    </w:p>
    <w:p w14:paraId="3149E6CE" w14:textId="77777777" w:rsidR="00F50ABB" w:rsidRPr="00A26AF8" w:rsidRDefault="00F50ABB" w:rsidP="00F50ABB">
      <w:pPr>
        <w:pStyle w:val="ListParagraph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84D57" w14:textId="405ABCD0" w:rsidR="0067618F" w:rsidRPr="00A26AF8" w:rsidRDefault="00A26AF8" w:rsidP="00A26AF8">
      <w:pPr>
        <w:pStyle w:val="Heading1"/>
        <w:tabs>
          <w:tab w:val="left" w:pos="808"/>
        </w:tabs>
        <w:spacing w:line="276" w:lineRule="auto"/>
        <w:ind w:left="0" w:right="38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Q4.</w:t>
      </w:r>
      <w:r>
        <w:rPr>
          <w:rFonts w:ascii="Times New Roman" w:hAnsi="Times New Roman"/>
          <w:sz w:val="24"/>
          <w:szCs w:val="24"/>
        </w:rPr>
        <w:tab/>
        <w:t>Kui tekib vaidlus, et E</w:t>
      </w:r>
      <w:r w:rsidR="00A622CD">
        <w:rPr>
          <w:rFonts w:ascii="Times New Roman" w:hAnsi="Times New Roman"/>
          <w:sz w:val="24"/>
          <w:szCs w:val="24"/>
        </w:rPr>
        <w:t>PPO</w:t>
      </w:r>
      <w:r>
        <w:rPr>
          <w:rFonts w:ascii="Times New Roman" w:hAnsi="Times New Roman"/>
          <w:sz w:val="24"/>
          <w:szCs w:val="24"/>
        </w:rPr>
        <w:t xml:space="preserve"> ei ole A ja B juhtumiga seoses pädev, kuna</w:t>
      </w:r>
    </w:p>
    <w:p w14:paraId="542C0102" w14:textId="22B784F4" w:rsidR="0067618F" w:rsidRPr="00A26AF8" w:rsidRDefault="00BE6DB5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 finantshuvidele ei tekitatud finantsalast kahju või</w:t>
      </w:r>
    </w:p>
    <w:p w14:paraId="60D69373" w14:textId="65B5AEA9" w:rsidR="00F024B1" w:rsidRPr="00A26AF8" w:rsidRDefault="00F50ABB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rahaline kahju on alla 10 000 euro.</w:t>
      </w:r>
    </w:p>
    <w:p w14:paraId="372F940D" w14:textId="7B116F65" w:rsidR="00F50ABB" w:rsidRPr="00A26AF8" w:rsidRDefault="00F50ABB" w:rsidP="00F024B1">
      <w:p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Kuidas selliseid eriarvamusi lahendada?</w:t>
      </w:r>
    </w:p>
    <w:p w14:paraId="77CB47B0" w14:textId="77777777" w:rsidR="007B6E25" w:rsidRPr="00A26AF8" w:rsidRDefault="007B6E25" w:rsidP="00A622CD">
      <w:pPr>
        <w:pStyle w:val="BodyText"/>
        <w:jc w:val="both"/>
        <w:rPr>
          <w:rFonts w:ascii="Times New Roman" w:hAnsi="Times New Roman" w:cs="Times New Roman"/>
          <w:sz w:val="21"/>
          <w:szCs w:val="21"/>
        </w:rPr>
      </w:pPr>
    </w:p>
    <w:p w14:paraId="6AFC3D61" w14:textId="65D5E509" w:rsidR="0067618F" w:rsidRPr="00A26AF8" w:rsidRDefault="00A26AF8" w:rsidP="00A26AF8">
      <w:pPr>
        <w:pStyle w:val="Heading1"/>
        <w:tabs>
          <w:tab w:val="left" w:pos="800"/>
        </w:tabs>
        <w:spacing w:before="137" w:line="276" w:lineRule="auto"/>
        <w:ind w:left="0" w:right="25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07544"/>
      <w:r>
        <w:rPr>
          <w:rFonts w:ascii="Times New Roman" w:hAnsi="Times New Roman"/>
          <w:sz w:val="24"/>
          <w:szCs w:val="24"/>
        </w:rPr>
        <w:t>Q5.</w:t>
      </w:r>
      <w:r>
        <w:rPr>
          <w:rFonts w:ascii="Times New Roman" w:hAnsi="Times New Roman"/>
          <w:sz w:val="24"/>
          <w:szCs w:val="24"/>
        </w:rPr>
        <w:tab/>
        <w:t>Kas Euroopa delegaatprokurör võib otsustada mitte algatada A ja B vastu hagi, kui kahju (või tõenäoline kahju) ELi finantshuvidele on väiksem kui</w:t>
      </w:r>
    </w:p>
    <w:p w14:paraId="69CB9897" w14:textId="74C303AD" w:rsidR="0067618F" w:rsidRPr="00A26AF8" w:rsidRDefault="00BE6DB5" w:rsidP="00F50ABB">
      <w:pPr>
        <w:spacing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ab/>
        <w:t>100 000 eurot?</w:t>
      </w:r>
    </w:p>
    <w:p w14:paraId="42A9B77D" w14:textId="233C5278" w:rsidR="0067618F" w:rsidRPr="00A26AF8" w:rsidRDefault="00BE6DB5" w:rsidP="00F50ABB">
      <w:pPr>
        <w:spacing w:before="144"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</w:t>
      </w:r>
      <w:r>
        <w:rPr>
          <w:rFonts w:ascii="Times New Roman" w:hAnsi="Times New Roman"/>
          <w:b/>
          <w:sz w:val="24"/>
          <w:szCs w:val="24"/>
        </w:rPr>
        <w:tab/>
        <w:t>10 000 eurot?</w:t>
      </w:r>
    </w:p>
    <w:bookmarkEnd w:id="0"/>
    <w:p w14:paraId="03402585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6B41FF43" w14:textId="073A5712" w:rsidR="0067618F" w:rsidRPr="00A26AF8" w:rsidRDefault="00A26AF8" w:rsidP="00D001D5">
      <w:pPr>
        <w:tabs>
          <w:tab w:val="left" w:pos="808"/>
        </w:tabs>
        <w:spacing w:before="140" w:line="276" w:lineRule="auto"/>
        <w:ind w:right="203"/>
        <w:jc w:val="both"/>
        <w:rPr>
          <w:rFonts w:ascii="Times New Roman" w:hAnsi="Times New Roman" w:cs="Times New Roman"/>
          <w:i/>
          <w:sz w:val="24"/>
          <w:szCs w:val="21"/>
        </w:rPr>
      </w:pPr>
      <w:r>
        <w:rPr>
          <w:rFonts w:ascii="Times New Roman" w:hAnsi="Times New Roman"/>
          <w:b/>
          <w:sz w:val="24"/>
          <w:szCs w:val="24"/>
        </w:rPr>
        <w:t>Q6.</w:t>
      </w:r>
      <w:r>
        <w:rPr>
          <w:rFonts w:ascii="Times New Roman" w:hAnsi="Times New Roman"/>
          <w:b/>
          <w:sz w:val="24"/>
          <w:szCs w:val="24"/>
        </w:rPr>
        <w:tab/>
        <w:t>Arvestades, et E</w:t>
      </w:r>
      <w:r w:rsidR="00A622CD">
        <w:rPr>
          <w:rFonts w:ascii="Times New Roman" w:hAnsi="Times New Roman"/>
          <w:b/>
          <w:sz w:val="24"/>
          <w:szCs w:val="24"/>
        </w:rPr>
        <w:t>PPO</w:t>
      </w:r>
      <w:r>
        <w:rPr>
          <w:rFonts w:ascii="Times New Roman" w:hAnsi="Times New Roman"/>
          <w:b/>
          <w:sz w:val="24"/>
          <w:szCs w:val="24"/>
        </w:rPr>
        <w:t xml:space="preserve"> on kutsunud esile liikmesriikide A ja B siseriiklikud juurdlused: millises liikmesriigis peaks E</w:t>
      </w:r>
      <w:r w:rsidR="00A622CD">
        <w:rPr>
          <w:rFonts w:ascii="Times New Roman" w:hAnsi="Times New Roman"/>
          <w:b/>
          <w:sz w:val="24"/>
          <w:szCs w:val="24"/>
        </w:rPr>
        <w:t>PPO</w:t>
      </w:r>
      <w:r>
        <w:rPr>
          <w:rFonts w:ascii="Times New Roman" w:hAnsi="Times New Roman"/>
          <w:b/>
          <w:sz w:val="24"/>
          <w:szCs w:val="24"/>
        </w:rPr>
        <w:t xml:space="preserve"> algatama oma uurimise?</w:t>
      </w:r>
    </w:p>
    <w:sectPr w:rsidR="0067618F" w:rsidRPr="00A26AF8">
      <w:footerReference w:type="default" r:id="rId8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0F71" w14:textId="77777777" w:rsidR="00C9486A" w:rsidRDefault="00C9486A">
      <w:r>
        <w:separator/>
      </w:r>
    </w:p>
  </w:endnote>
  <w:endnote w:type="continuationSeparator" w:id="0">
    <w:p w14:paraId="144C3BDB" w14:textId="77777777" w:rsidR="00C9486A" w:rsidRDefault="00C9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BA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141619"/>
      <w:docPartObj>
        <w:docPartGallery w:val="Page Numbers (Bottom of Page)"/>
        <w:docPartUnique/>
      </w:docPartObj>
    </w:sdtPr>
    <w:sdtEndPr/>
    <w:sdtContent>
      <w:p w14:paraId="7705415C" w14:textId="3ECD7127" w:rsidR="00996B48" w:rsidRDefault="00996B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393" w:rsidRPr="00EB4393">
          <w:t>2</w:t>
        </w:r>
        <w:r>
          <w:fldChar w:fldCharType="end"/>
        </w:r>
      </w:p>
    </w:sdtContent>
  </w:sdt>
  <w:p w14:paraId="0433BADF" w14:textId="243DEEF7" w:rsidR="0067618F" w:rsidRDefault="00676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FDE4" w14:textId="77777777" w:rsidR="00C9486A" w:rsidRDefault="00C9486A">
      <w:r>
        <w:separator/>
      </w:r>
    </w:p>
  </w:footnote>
  <w:footnote w:type="continuationSeparator" w:id="0">
    <w:p w14:paraId="5D4DE602" w14:textId="77777777" w:rsidR="00C9486A" w:rsidRDefault="00C9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 w15:restartNumberingAfterBreak="0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8F"/>
    <w:rsid w:val="000071C0"/>
    <w:rsid w:val="000440FE"/>
    <w:rsid w:val="000F4A10"/>
    <w:rsid w:val="001121C3"/>
    <w:rsid w:val="00130005"/>
    <w:rsid w:val="00167E24"/>
    <w:rsid w:val="001922F7"/>
    <w:rsid w:val="002178B9"/>
    <w:rsid w:val="00227A40"/>
    <w:rsid w:val="002670A7"/>
    <w:rsid w:val="002A52EE"/>
    <w:rsid w:val="002D205F"/>
    <w:rsid w:val="003E6A84"/>
    <w:rsid w:val="00463D9A"/>
    <w:rsid w:val="00471FEA"/>
    <w:rsid w:val="004E2FD9"/>
    <w:rsid w:val="00512B9A"/>
    <w:rsid w:val="005517A7"/>
    <w:rsid w:val="00667B74"/>
    <w:rsid w:val="0067618F"/>
    <w:rsid w:val="006C586A"/>
    <w:rsid w:val="007B6E25"/>
    <w:rsid w:val="007B79C3"/>
    <w:rsid w:val="008823D0"/>
    <w:rsid w:val="00904598"/>
    <w:rsid w:val="00922975"/>
    <w:rsid w:val="00922D60"/>
    <w:rsid w:val="00944CEC"/>
    <w:rsid w:val="00996B48"/>
    <w:rsid w:val="009B7AB7"/>
    <w:rsid w:val="00A26AF8"/>
    <w:rsid w:val="00A622CD"/>
    <w:rsid w:val="00A922B1"/>
    <w:rsid w:val="00B07BD3"/>
    <w:rsid w:val="00BB4C92"/>
    <w:rsid w:val="00BE6DB5"/>
    <w:rsid w:val="00C9486A"/>
    <w:rsid w:val="00CC418A"/>
    <w:rsid w:val="00D001D5"/>
    <w:rsid w:val="00EB4393"/>
    <w:rsid w:val="00EE0B10"/>
    <w:rsid w:val="00EE1907"/>
    <w:rsid w:val="00F024B1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15102"/>
  <w15:docId w15:val="{64F5F0B5-F7EA-4C17-85E6-F78AE0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4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F18D-BDF5-4571-8129-89E50996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Microsoft Word - Case scenario EPPO-PIF</vt:lpstr>
      <vt:lpstr>Microsoft Word - Case scenario EPPO-PIF</vt:lpstr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Liisa Mets</cp:lastModifiedBy>
  <cp:revision>5</cp:revision>
  <dcterms:created xsi:type="dcterms:W3CDTF">2021-12-17T07:54:00Z</dcterms:created>
  <dcterms:modified xsi:type="dcterms:W3CDTF">2022-02-09T16:18:00Z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</Properties>
</file>